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57725D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DTK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2E19CE">
        <w:rPr>
          <w:rFonts w:ascii="Arial" w:hAnsi="Arial" w:cs="Arial"/>
          <w:b/>
          <w:sz w:val="20"/>
          <w:szCs w:val="20"/>
        </w:rPr>
        <w:t>General Mandate 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891985">
        <w:rPr>
          <w:rFonts w:ascii="Arial" w:hAnsi="Arial" w:cs="Arial"/>
          <w:sz w:val="20"/>
          <w:szCs w:val="20"/>
        </w:rPr>
        <w:t>2</w:t>
      </w:r>
      <w:r w:rsidR="00F82371">
        <w:rPr>
          <w:rFonts w:ascii="Arial" w:hAnsi="Arial" w:cs="Arial"/>
          <w:sz w:val="20"/>
          <w:szCs w:val="20"/>
        </w:rPr>
        <w:t>2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57725D" w:rsidRPr="0057725D">
        <w:rPr>
          <w:rFonts w:ascii="Arial" w:hAnsi="Arial" w:cs="Arial"/>
          <w:sz w:val="20"/>
          <w:szCs w:val="20"/>
        </w:rPr>
        <w:t>Vinacomin</w:t>
      </w:r>
      <w:proofErr w:type="spellEnd"/>
      <w:r w:rsidR="0057725D" w:rsidRPr="0057725D">
        <w:rPr>
          <w:rFonts w:ascii="Arial" w:hAnsi="Arial" w:cs="Arial"/>
          <w:sz w:val="20"/>
          <w:szCs w:val="20"/>
        </w:rPr>
        <w:t xml:space="preserve"> - Power Holding Corporation</w:t>
      </w:r>
      <w:r w:rsidR="0057725D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2E19CE">
        <w:rPr>
          <w:rFonts w:ascii="Arial" w:hAnsi="Arial" w:cs="Arial"/>
          <w:sz w:val="20"/>
          <w:szCs w:val="20"/>
        </w:rPr>
        <w:t>General Mandate 2020</w:t>
      </w:r>
      <w:r w:rsidR="00F82371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1: </w:t>
      </w:r>
      <w:r w:rsidRPr="0057725D">
        <w:rPr>
          <w:rFonts w:ascii="Arial" w:hAnsi="Arial" w:cs="Arial"/>
          <w:sz w:val="20"/>
          <w:szCs w:val="20"/>
        </w:rPr>
        <w:t xml:space="preserve">Approving the report on the business results of 2019 and the main targets of the Corporation's business and production plans, 2020 development investment plans: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25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.1 </w:t>
      </w:r>
      <w:r w:rsidRPr="0057725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annual General Meeting of Shareholders</w:t>
      </w:r>
      <w:r w:rsidRPr="0057725D">
        <w:rPr>
          <w:rFonts w:ascii="Arial" w:hAnsi="Arial" w:cs="Arial"/>
          <w:sz w:val="20"/>
          <w:szCs w:val="20"/>
        </w:rPr>
        <w:t xml:space="preserve"> approved the Reports of the Board of Directors, the Supervisory Board, and the Executive Board at the Meeting on the results of production and business in 2019, t</w:t>
      </w:r>
      <w:r>
        <w:rPr>
          <w:rFonts w:ascii="Arial" w:hAnsi="Arial" w:cs="Arial"/>
          <w:sz w:val="20"/>
          <w:szCs w:val="20"/>
        </w:rPr>
        <w:t xml:space="preserve">he audited financial statement of </w:t>
      </w:r>
      <w:r w:rsidRPr="0057725D">
        <w:rPr>
          <w:rFonts w:ascii="Arial" w:hAnsi="Arial" w:cs="Arial"/>
          <w:sz w:val="20"/>
          <w:szCs w:val="20"/>
        </w:rPr>
        <w:t>2019, the business plan, the devel</w:t>
      </w:r>
      <w:r>
        <w:rPr>
          <w:rFonts w:ascii="Arial" w:hAnsi="Arial" w:cs="Arial"/>
          <w:sz w:val="20"/>
          <w:szCs w:val="20"/>
        </w:rPr>
        <w:t>opment investment plan of 2020 of the Corporation;</w:t>
      </w:r>
      <w:r w:rsidRPr="0057725D">
        <w:rPr>
          <w:rFonts w:ascii="Arial" w:hAnsi="Arial" w:cs="Arial"/>
          <w:sz w:val="20"/>
          <w:szCs w:val="20"/>
        </w:rPr>
        <w:t xml:space="preserve"> and Plan </w:t>
      </w:r>
      <w:r>
        <w:rPr>
          <w:rFonts w:ascii="Arial" w:hAnsi="Arial" w:cs="Arial"/>
          <w:sz w:val="20"/>
          <w:szCs w:val="20"/>
        </w:rPr>
        <w:t>on</w:t>
      </w:r>
      <w:r w:rsidRPr="0057725D">
        <w:rPr>
          <w:rFonts w:ascii="Arial" w:hAnsi="Arial" w:cs="Arial"/>
          <w:sz w:val="20"/>
          <w:szCs w:val="20"/>
        </w:rPr>
        <w:t xml:space="preserve"> inspection and supervision activities in 2020 of the </w:t>
      </w:r>
      <w:r>
        <w:rPr>
          <w:rFonts w:ascii="Arial" w:hAnsi="Arial" w:cs="Arial"/>
          <w:sz w:val="20"/>
          <w:szCs w:val="20"/>
        </w:rPr>
        <w:t>Corporation's Supervisory Board as follows</w:t>
      </w:r>
      <w:r w:rsidRPr="0057725D">
        <w:rPr>
          <w:rFonts w:ascii="Arial" w:hAnsi="Arial" w:cs="Arial"/>
          <w:sz w:val="20"/>
          <w:szCs w:val="20"/>
        </w:rPr>
        <w:t xml:space="preserve">: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25D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Implementation of the Business Plan in</w:t>
      </w:r>
      <w:r w:rsidRPr="0057725D">
        <w:rPr>
          <w:rFonts w:ascii="Arial" w:hAnsi="Arial" w:cs="Arial"/>
          <w:sz w:val="20"/>
          <w:szCs w:val="20"/>
        </w:rPr>
        <w:t xml:space="preserve"> 2019: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25D">
        <w:rPr>
          <w:rFonts w:ascii="Arial" w:hAnsi="Arial" w:cs="Arial"/>
          <w:sz w:val="20"/>
          <w:szCs w:val="20"/>
        </w:rPr>
        <w:t>- Com</w:t>
      </w:r>
      <w:r>
        <w:rPr>
          <w:rFonts w:ascii="Arial" w:hAnsi="Arial" w:cs="Arial"/>
          <w:sz w:val="20"/>
          <w:szCs w:val="20"/>
        </w:rPr>
        <w:t>mercial electricity output: 5,</w:t>
      </w:r>
      <w:r w:rsidRPr="0057725D">
        <w:rPr>
          <w:rFonts w:ascii="Arial" w:hAnsi="Arial" w:cs="Arial"/>
          <w:sz w:val="20"/>
          <w:szCs w:val="20"/>
        </w:rPr>
        <w:t xml:space="preserve">668 million kWh, equal to 109% of the Plan; 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7725D">
        <w:rPr>
          <w:rFonts w:ascii="Arial" w:hAnsi="Arial" w:cs="Arial"/>
          <w:sz w:val="20"/>
          <w:szCs w:val="20"/>
        </w:rPr>
        <w:t xml:space="preserve">Revenue: VND </w:t>
      </w:r>
      <w:r>
        <w:rPr>
          <w:rFonts w:ascii="Arial" w:hAnsi="Arial" w:cs="Arial"/>
          <w:sz w:val="20"/>
          <w:szCs w:val="20"/>
        </w:rPr>
        <w:t>11,119 billion, equal to 161.</w:t>
      </w:r>
      <w:r w:rsidRPr="0057725D">
        <w:rPr>
          <w:rFonts w:ascii="Arial" w:hAnsi="Arial" w:cs="Arial"/>
          <w:sz w:val="20"/>
          <w:szCs w:val="20"/>
        </w:rPr>
        <w:t xml:space="preserve">6% of the plan; 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25D">
        <w:rPr>
          <w:rFonts w:ascii="Arial" w:hAnsi="Arial" w:cs="Arial"/>
          <w:sz w:val="20"/>
          <w:szCs w:val="20"/>
        </w:rPr>
        <w:t>- Profit before tax: VND 586 billion</w:t>
      </w:r>
      <w:r>
        <w:rPr>
          <w:rFonts w:ascii="Arial" w:hAnsi="Arial" w:cs="Arial"/>
          <w:sz w:val="20"/>
          <w:szCs w:val="20"/>
        </w:rPr>
        <w:t>, equal to 144.</w:t>
      </w:r>
      <w:r w:rsidRPr="0057725D">
        <w:rPr>
          <w:rFonts w:ascii="Arial" w:hAnsi="Arial" w:cs="Arial"/>
          <w:sz w:val="20"/>
          <w:szCs w:val="20"/>
        </w:rPr>
        <w:t xml:space="preserve">7% of the plan;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57725D">
        <w:rPr>
          <w:rFonts w:ascii="Arial" w:hAnsi="Arial" w:cs="Arial"/>
          <w:sz w:val="20"/>
          <w:szCs w:val="20"/>
        </w:rPr>
        <w:t xml:space="preserve"> Construction investment: </w:t>
      </w:r>
      <w:r>
        <w:rPr>
          <w:rFonts w:ascii="Arial" w:hAnsi="Arial" w:cs="Arial"/>
          <w:sz w:val="20"/>
          <w:szCs w:val="20"/>
        </w:rPr>
        <w:t xml:space="preserve">VND 162 billion, equivalent to </w:t>
      </w:r>
      <w:r w:rsidRPr="0057725D">
        <w:rPr>
          <w:rFonts w:ascii="Arial" w:hAnsi="Arial" w:cs="Arial"/>
          <w:sz w:val="20"/>
          <w:szCs w:val="20"/>
        </w:rPr>
        <w:t xml:space="preserve">134% of the plan; 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Dividend payout ratio: 7.5%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57725D">
        <w:rPr>
          <w:rFonts w:ascii="Arial" w:hAnsi="Arial" w:cs="Arial"/>
          <w:sz w:val="20"/>
          <w:szCs w:val="20"/>
        </w:rPr>
        <w:t xml:space="preserve">Business and production plan in 2020: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7725D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>mercial electricity output: 5,</w:t>
      </w:r>
      <w:r w:rsidRPr="0057725D">
        <w:rPr>
          <w:rFonts w:ascii="Arial" w:hAnsi="Arial" w:cs="Arial"/>
          <w:sz w:val="20"/>
          <w:szCs w:val="20"/>
        </w:rPr>
        <w:t xml:space="preserve">379 million kWh; 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25D">
        <w:rPr>
          <w:rFonts w:ascii="Arial" w:hAnsi="Arial" w:cs="Arial"/>
          <w:sz w:val="20"/>
          <w:szCs w:val="20"/>
        </w:rPr>
        <w:t xml:space="preserve">- Revenue: VND </w:t>
      </w:r>
      <w:r>
        <w:rPr>
          <w:rFonts w:ascii="Arial" w:hAnsi="Arial" w:cs="Arial"/>
          <w:sz w:val="20"/>
          <w:szCs w:val="20"/>
        </w:rPr>
        <w:t>10,</w:t>
      </w:r>
      <w:r w:rsidRPr="0057725D">
        <w:rPr>
          <w:rFonts w:ascii="Arial" w:hAnsi="Arial" w:cs="Arial"/>
          <w:sz w:val="20"/>
          <w:szCs w:val="20"/>
        </w:rPr>
        <w:t xml:space="preserve">483 billion; 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25D">
        <w:rPr>
          <w:rFonts w:ascii="Arial" w:hAnsi="Arial" w:cs="Arial"/>
          <w:sz w:val="20"/>
          <w:szCs w:val="20"/>
        </w:rPr>
        <w:t xml:space="preserve">- Profit </w:t>
      </w:r>
      <w:r>
        <w:rPr>
          <w:rFonts w:ascii="Arial" w:hAnsi="Arial" w:cs="Arial"/>
          <w:sz w:val="20"/>
          <w:szCs w:val="20"/>
        </w:rPr>
        <w:t xml:space="preserve">before tax: VND 565 billion; 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7725D">
        <w:rPr>
          <w:rFonts w:ascii="Arial" w:hAnsi="Arial" w:cs="Arial"/>
          <w:sz w:val="20"/>
          <w:szCs w:val="20"/>
        </w:rPr>
        <w:t xml:space="preserve">Construction investment: </w:t>
      </w:r>
      <w:r>
        <w:rPr>
          <w:rFonts w:ascii="Arial" w:hAnsi="Arial" w:cs="Arial"/>
          <w:sz w:val="20"/>
          <w:szCs w:val="20"/>
        </w:rPr>
        <w:t xml:space="preserve">VND </w:t>
      </w:r>
      <w:r w:rsidRPr="0057725D">
        <w:rPr>
          <w:rFonts w:ascii="Arial" w:hAnsi="Arial" w:cs="Arial"/>
          <w:sz w:val="20"/>
          <w:szCs w:val="20"/>
        </w:rPr>
        <w:t xml:space="preserve">661 billion </w:t>
      </w:r>
    </w:p>
    <w:p w:rsidR="0057725D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Dividend payment ratio: ≥ 5% (excluding the profit </w:t>
      </w:r>
      <w:r w:rsidRPr="0057725D">
        <w:rPr>
          <w:rFonts w:ascii="Arial" w:hAnsi="Arial" w:cs="Arial"/>
          <w:sz w:val="20"/>
          <w:szCs w:val="20"/>
        </w:rPr>
        <w:t xml:space="preserve">in 2019 </w:t>
      </w:r>
      <w:r>
        <w:rPr>
          <w:rFonts w:ascii="Arial" w:hAnsi="Arial" w:cs="Arial"/>
          <w:sz w:val="20"/>
          <w:szCs w:val="20"/>
        </w:rPr>
        <w:t>carried over to 2020)</w:t>
      </w:r>
    </w:p>
    <w:p w:rsidR="00A05A90" w:rsidRDefault="0057725D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Pr="0057725D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annual </w:t>
      </w:r>
      <w:r w:rsidRPr="0057725D">
        <w:rPr>
          <w:rFonts w:ascii="Arial" w:hAnsi="Arial" w:cs="Arial"/>
          <w:sz w:val="20"/>
          <w:szCs w:val="20"/>
        </w:rPr>
        <w:t>General Me</w:t>
      </w:r>
      <w:r>
        <w:rPr>
          <w:rFonts w:ascii="Arial" w:hAnsi="Arial" w:cs="Arial"/>
          <w:sz w:val="20"/>
          <w:szCs w:val="20"/>
        </w:rPr>
        <w:t>eting of Shareholders authorized</w:t>
      </w:r>
      <w:r w:rsidRPr="0057725D">
        <w:rPr>
          <w:rFonts w:ascii="Arial" w:hAnsi="Arial" w:cs="Arial"/>
          <w:sz w:val="20"/>
          <w:szCs w:val="20"/>
        </w:rPr>
        <w:t xml:space="preserve"> the Corporation's Board of Directors to direct the implementation of the Business Plan 2020 approved by the </w:t>
      </w:r>
      <w:r>
        <w:rPr>
          <w:rFonts w:ascii="Arial" w:hAnsi="Arial" w:cs="Arial"/>
          <w:sz w:val="20"/>
          <w:szCs w:val="20"/>
        </w:rPr>
        <w:t>annual General Meeting of Shareholders and decide</w:t>
      </w:r>
      <w:r w:rsidRPr="0057725D">
        <w:rPr>
          <w:rFonts w:ascii="Arial" w:hAnsi="Arial" w:cs="Arial"/>
          <w:sz w:val="20"/>
          <w:szCs w:val="20"/>
        </w:rPr>
        <w:t xml:space="preserve"> to adjust the Business Plan 2020 </w:t>
      </w:r>
      <w:r>
        <w:rPr>
          <w:rFonts w:ascii="Arial" w:hAnsi="Arial" w:cs="Arial"/>
          <w:sz w:val="20"/>
          <w:szCs w:val="20"/>
        </w:rPr>
        <w:t>when</w:t>
      </w:r>
      <w:r w:rsidRPr="0057725D">
        <w:rPr>
          <w:rFonts w:ascii="Arial" w:hAnsi="Arial" w:cs="Arial"/>
          <w:sz w:val="20"/>
          <w:szCs w:val="20"/>
        </w:rPr>
        <w:t xml:space="preserve"> necessary, then submit a report to shareholders at the next </w:t>
      </w:r>
      <w:r w:rsidR="00A05A90">
        <w:rPr>
          <w:rFonts w:ascii="Arial" w:hAnsi="Arial" w:cs="Arial"/>
          <w:sz w:val="20"/>
          <w:szCs w:val="20"/>
        </w:rPr>
        <w:t xml:space="preserve">annual General Meeting of Shareholders </w:t>
      </w:r>
    </w:p>
    <w:p w:rsidR="00A05A90" w:rsidRDefault="00A05A90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</w:t>
      </w:r>
      <w:r w:rsidR="0057725D" w:rsidRPr="0057725D">
        <w:rPr>
          <w:rFonts w:ascii="Arial" w:hAnsi="Arial" w:cs="Arial"/>
          <w:sz w:val="20"/>
          <w:szCs w:val="20"/>
        </w:rPr>
        <w:t xml:space="preserve"> Approving the 2019 profit distribution plan and 2020 profit distribution plan: </w:t>
      </w:r>
    </w:p>
    <w:p w:rsidR="0057725D" w:rsidRDefault="00A05A90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2.1 </w:t>
      </w:r>
      <w:r w:rsidR="0057725D" w:rsidRPr="0057725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annual </w:t>
      </w:r>
      <w:r w:rsidR="0057725D" w:rsidRPr="0057725D">
        <w:rPr>
          <w:rFonts w:ascii="Arial" w:hAnsi="Arial" w:cs="Arial"/>
          <w:sz w:val="20"/>
          <w:szCs w:val="20"/>
        </w:rPr>
        <w:t>General Meeting of Shareholders approved the plan for profit distribution in 2019 and the plan for profit</w:t>
      </w:r>
      <w:r>
        <w:rPr>
          <w:rFonts w:ascii="Arial" w:hAnsi="Arial" w:cs="Arial"/>
          <w:sz w:val="20"/>
          <w:szCs w:val="20"/>
        </w:rPr>
        <w:t xml:space="preserve"> distribution for</w:t>
      </w:r>
      <w:r w:rsidR="0057725D" w:rsidRPr="0057725D">
        <w:rPr>
          <w:rFonts w:ascii="Arial" w:hAnsi="Arial" w:cs="Arial"/>
          <w:sz w:val="20"/>
          <w:szCs w:val="20"/>
        </w:rPr>
        <w:t xml:space="preserve"> 2020 according to the report of the Board of Directors of the Corporation at the Meeting, with the following contents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826"/>
        <w:gridCol w:w="3192"/>
      </w:tblGrid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3192" w:type="dxa"/>
          </w:tcPr>
          <w:p w:rsidR="007E7734" w:rsidRDefault="007E7734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(VND)</w:t>
            </w:r>
          </w:p>
        </w:tc>
      </w:tr>
      <w:tr w:rsidR="007E7734" w:rsidTr="00976104">
        <w:tc>
          <w:tcPr>
            <w:tcW w:w="9576" w:type="dxa"/>
            <w:gridSpan w:val="3"/>
          </w:tcPr>
          <w:p w:rsidR="007E7734" w:rsidRDefault="007E7734" w:rsidP="00814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on profit distribution of 2019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of the holding company of the previous year carried over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186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917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After-tax profit of holding company in 2019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551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598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profit (including profit of 2019 and 2018 carried over)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737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168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Profit distribution 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737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168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payment rate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E7734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826" w:type="dxa"/>
          </w:tcPr>
          <w:p w:rsidR="007E7734" w:rsidRDefault="007E7734" w:rsidP="007E77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Cash dividend 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510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Deduction to funds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460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fund to managers (1.5 monthly salary)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642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Welfare and Reward Fund (1.5 monthly salary), in which:</w:t>
            </w:r>
          </w:p>
        </w:tc>
        <w:tc>
          <w:tcPr>
            <w:tcW w:w="3192" w:type="dxa"/>
          </w:tcPr>
          <w:p w:rsidR="007E7734" w:rsidRDefault="007E7734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fund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588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Welfare fund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230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Retained profit of holding company after distribution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199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539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168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</w:tr>
      <w:tr w:rsidR="007E7734" w:rsidTr="00C012CE">
        <w:tc>
          <w:tcPr>
            <w:tcW w:w="9576" w:type="dxa"/>
            <w:gridSpan w:val="3"/>
          </w:tcPr>
          <w:p w:rsidR="007E7734" w:rsidRDefault="007E7734" w:rsidP="00814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on profit distribution of 2020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After-tax profit – holding company (expected)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420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on profit distribution in 2020 to submit the annual General Meeting of Shareholders </w:t>
            </w:r>
          </w:p>
        </w:tc>
        <w:tc>
          <w:tcPr>
            <w:tcW w:w="3192" w:type="dxa"/>
          </w:tcPr>
          <w:p w:rsidR="007E7734" w:rsidRDefault="007E7734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payment rate (excluding the profit of previous year)</w:t>
            </w:r>
          </w:p>
        </w:tc>
        <w:tc>
          <w:tcPr>
            <w:tcW w:w="3192" w:type="dxa"/>
          </w:tcPr>
          <w:p w:rsidR="007E7734" w:rsidRDefault="00D710D0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5</w:t>
            </w:r>
            <w:r w:rsidR="00CB0222" w:rsidRPr="007E7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payout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734">
              <w:rPr>
                <w:rFonts w:ascii="Arial" w:hAnsi="Arial" w:cs="Arial"/>
                <w:sz w:val="20"/>
                <w:szCs w:val="20"/>
              </w:rPr>
              <w:t>340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7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826" w:type="dxa"/>
          </w:tcPr>
          <w:p w:rsidR="007E7734" w:rsidRDefault="007E7734" w:rsidP="005772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deducted to funds</w:t>
            </w:r>
          </w:p>
        </w:tc>
        <w:tc>
          <w:tcPr>
            <w:tcW w:w="3192" w:type="dxa"/>
          </w:tcPr>
          <w:p w:rsidR="007E7734" w:rsidRDefault="007E7734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734" w:rsidTr="007E7734">
        <w:tc>
          <w:tcPr>
            <w:tcW w:w="558" w:type="dxa"/>
          </w:tcPr>
          <w:p w:rsidR="007E7734" w:rsidRDefault="007E7734" w:rsidP="007E77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26" w:type="dxa"/>
          </w:tcPr>
          <w:p w:rsidR="007E7734" w:rsidRDefault="007E7734" w:rsidP="007E77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fund to managers (1.5 monthly salary)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550,000,000</w:t>
            </w:r>
          </w:p>
        </w:tc>
      </w:tr>
      <w:tr w:rsidR="007E7734" w:rsidTr="007E7734">
        <w:tc>
          <w:tcPr>
            <w:tcW w:w="558" w:type="dxa"/>
          </w:tcPr>
          <w:p w:rsidR="007E7734" w:rsidRDefault="007E7734" w:rsidP="007E77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26" w:type="dxa"/>
          </w:tcPr>
          <w:p w:rsidR="007E7734" w:rsidRDefault="007E7734" w:rsidP="007E77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Welfare and Reward Fund (a maximum of 3 salary months)</w:t>
            </w:r>
          </w:p>
        </w:tc>
        <w:tc>
          <w:tcPr>
            <w:tcW w:w="3192" w:type="dxa"/>
          </w:tcPr>
          <w:p w:rsidR="007E7734" w:rsidRDefault="00CB0222" w:rsidP="00814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55,000,000,000</w:t>
            </w:r>
          </w:p>
        </w:tc>
      </w:tr>
    </w:tbl>
    <w:p w:rsidR="00A05A90" w:rsidRDefault="00A05A90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6981" w:rsidRDefault="005A6981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Pr="005A6981">
        <w:rPr>
          <w:rFonts w:ascii="Arial" w:hAnsi="Arial" w:cs="Arial"/>
          <w:sz w:val="20"/>
          <w:szCs w:val="20"/>
        </w:rPr>
        <w:t xml:space="preserve"> The General Me</w:t>
      </w:r>
      <w:r>
        <w:rPr>
          <w:rFonts w:ascii="Arial" w:hAnsi="Arial" w:cs="Arial"/>
          <w:sz w:val="20"/>
          <w:szCs w:val="20"/>
        </w:rPr>
        <w:t>eting of Shareholders authorized</w:t>
      </w:r>
      <w:r w:rsidRPr="005A6981">
        <w:rPr>
          <w:rFonts w:ascii="Arial" w:hAnsi="Arial" w:cs="Arial"/>
          <w:sz w:val="20"/>
          <w:szCs w:val="20"/>
        </w:rPr>
        <w:t xml:space="preserve"> the Corporation's Board of Directors to organize the implementation of</w:t>
      </w:r>
      <w:r>
        <w:rPr>
          <w:rFonts w:ascii="Arial" w:hAnsi="Arial" w:cs="Arial"/>
          <w:sz w:val="20"/>
          <w:szCs w:val="20"/>
        </w:rPr>
        <w:t xml:space="preserve"> the profit distribution plan of</w:t>
      </w:r>
      <w:r w:rsidRPr="005A6981">
        <w:rPr>
          <w:rFonts w:ascii="Arial" w:hAnsi="Arial" w:cs="Arial"/>
          <w:sz w:val="20"/>
          <w:szCs w:val="20"/>
        </w:rPr>
        <w:t xml:space="preserve"> 2019 and the Profit distr</w:t>
      </w:r>
      <w:r>
        <w:rPr>
          <w:rFonts w:ascii="Arial" w:hAnsi="Arial" w:cs="Arial"/>
          <w:sz w:val="20"/>
          <w:szCs w:val="20"/>
        </w:rPr>
        <w:t>ibution plan for</w:t>
      </w:r>
      <w:r w:rsidRPr="005A6981">
        <w:rPr>
          <w:rFonts w:ascii="Arial" w:hAnsi="Arial" w:cs="Arial"/>
          <w:sz w:val="20"/>
          <w:szCs w:val="20"/>
        </w:rPr>
        <w:t xml:space="preserve"> 2020 </w:t>
      </w:r>
      <w:r>
        <w:rPr>
          <w:rFonts w:ascii="Arial" w:hAnsi="Arial" w:cs="Arial"/>
          <w:sz w:val="20"/>
          <w:szCs w:val="20"/>
        </w:rPr>
        <w:t xml:space="preserve">in </w:t>
      </w:r>
      <w:r w:rsidRPr="005A6981">
        <w:rPr>
          <w:rFonts w:ascii="Arial" w:hAnsi="Arial" w:cs="Arial"/>
          <w:sz w:val="20"/>
          <w:szCs w:val="20"/>
        </w:rPr>
        <w:t>complianc</w:t>
      </w:r>
      <w:r>
        <w:rPr>
          <w:rFonts w:ascii="Arial" w:hAnsi="Arial" w:cs="Arial"/>
          <w:sz w:val="20"/>
          <w:szCs w:val="20"/>
        </w:rPr>
        <w:t>e with the current regulations</w:t>
      </w:r>
    </w:p>
    <w:p w:rsidR="005A6981" w:rsidRDefault="005A6981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3: </w:t>
      </w:r>
      <w:r w:rsidRPr="005A6981">
        <w:rPr>
          <w:rFonts w:ascii="Arial" w:hAnsi="Arial" w:cs="Arial"/>
          <w:sz w:val="20"/>
          <w:szCs w:val="20"/>
        </w:rPr>
        <w:t xml:space="preserve">Approve the report on salary and remuneration </w:t>
      </w:r>
      <w:r>
        <w:rPr>
          <w:rFonts w:ascii="Arial" w:hAnsi="Arial" w:cs="Arial"/>
          <w:sz w:val="20"/>
          <w:szCs w:val="20"/>
        </w:rPr>
        <w:t>payment to</w:t>
      </w:r>
      <w:r w:rsidRPr="005A6981">
        <w:rPr>
          <w:rFonts w:ascii="Arial" w:hAnsi="Arial" w:cs="Arial"/>
          <w:sz w:val="20"/>
          <w:szCs w:val="20"/>
        </w:rPr>
        <w:t xml:space="preserve"> the Board of Directors, the Board of Supervisors, the Corporation's </w:t>
      </w:r>
      <w:r>
        <w:rPr>
          <w:rFonts w:ascii="Arial" w:hAnsi="Arial" w:cs="Arial"/>
          <w:sz w:val="20"/>
          <w:szCs w:val="20"/>
        </w:rPr>
        <w:t>managers</w:t>
      </w:r>
      <w:r w:rsidRPr="005A6981">
        <w:rPr>
          <w:rFonts w:ascii="Arial" w:hAnsi="Arial" w:cs="Arial"/>
          <w:sz w:val="20"/>
          <w:szCs w:val="20"/>
        </w:rPr>
        <w:t xml:space="preserve"> in 2019 and the payment plan for 2020: </w:t>
      </w:r>
    </w:p>
    <w:p w:rsidR="00CB0222" w:rsidRDefault="005A6981" w:rsidP="005772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A6981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annual General Meeting of Shareholders</w:t>
      </w:r>
      <w:r w:rsidRPr="005A6981">
        <w:rPr>
          <w:rFonts w:ascii="Arial" w:hAnsi="Arial" w:cs="Arial"/>
          <w:sz w:val="20"/>
          <w:szCs w:val="20"/>
        </w:rPr>
        <w:t xml:space="preserve"> approve</w:t>
      </w:r>
      <w:r>
        <w:rPr>
          <w:rFonts w:ascii="Arial" w:hAnsi="Arial" w:cs="Arial"/>
          <w:sz w:val="20"/>
          <w:szCs w:val="20"/>
        </w:rPr>
        <w:t>d</w:t>
      </w:r>
      <w:r w:rsidRPr="005A6981">
        <w:rPr>
          <w:rFonts w:ascii="Arial" w:hAnsi="Arial" w:cs="Arial"/>
          <w:sz w:val="20"/>
          <w:szCs w:val="20"/>
        </w:rPr>
        <w:t xml:space="preserve"> the paym</w:t>
      </w:r>
      <w:r>
        <w:rPr>
          <w:rFonts w:ascii="Arial" w:hAnsi="Arial" w:cs="Arial"/>
          <w:sz w:val="20"/>
          <w:szCs w:val="20"/>
        </w:rPr>
        <w:t>ent of salaries, remuneration to</w:t>
      </w:r>
      <w:r w:rsidRPr="005A6981">
        <w:rPr>
          <w:rFonts w:ascii="Arial" w:hAnsi="Arial" w:cs="Arial"/>
          <w:sz w:val="20"/>
          <w:szCs w:val="20"/>
        </w:rPr>
        <w:t xml:space="preserve"> the Board of Directors, the </w:t>
      </w:r>
      <w:r>
        <w:rPr>
          <w:rFonts w:ascii="Arial" w:hAnsi="Arial" w:cs="Arial"/>
          <w:sz w:val="20"/>
          <w:szCs w:val="20"/>
        </w:rPr>
        <w:t>Supervisor Board</w:t>
      </w:r>
      <w:r w:rsidRPr="005A6981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managers </w:t>
      </w:r>
      <w:r w:rsidRPr="005A6981">
        <w:rPr>
          <w:rFonts w:ascii="Arial" w:hAnsi="Arial" w:cs="Arial"/>
          <w:sz w:val="20"/>
          <w:szCs w:val="20"/>
        </w:rPr>
        <w:t xml:space="preserve">of the Company in 2019 and payment plan </w:t>
      </w:r>
      <w:r>
        <w:rPr>
          <w:rFonts w:ascii="Arial" w:hAnsi="Arial" w:cs="Arial"/>
          <w:sz w:val="20"/>
          <w:szCs w:val="20"/>
        </w:rPr>
        <w:t xml:space="preserve">for </w:t>
      </w:r>
      <w:r w:rsidRPr="005A6981">
        <w:rPr>
          <w:rFonts w:ascii="Arial" w:hAnsi="Arial" w:cs="Arial"/>
          <w:sz w:val="20"/>
          <w:szCs w:val="20"/>
        </w:rPr>
        <w:lastRenderedPageBreak/>
        <w:t>2020 according to the report of the Board of Directors of the Corporation at</w:t>
      </w:r>
      <w:r w:rsidR="0005768F">
        <w:rPr>
          <w:rFonts w:ascii="Arial" w:hAnsi="Arial" w:cs="Arial"/>
          <w:sz w:val="20"/>
          <w:szCs w:val="20"/>
        </w:rPr>
        <w:t xml:space="preserve"> the Meeting (Statement No. 630/</w:t>
      </w:r>
      <w:proofErr w:type="spellStart"/>
      <w:r w:rsidR="0005768F">
        <w:rPr>
          <w:rFonts w:ascii="Arial" w:hAnsi="Arial" w:cs="Arial"/>
          <w:sz w:val="20"/>
          <w:szCs w:val="20"/>
        </w:rPr>
        <w:t>TTr</w:t>
      </w:r>
      <w:proofErr w:type="spellEnd"/>
      <w:r w:rsidR="0005768F">
        <w:rPr>
          <w:rFonts w:ascii="Arial" w:hAnsi="Arial" w:cs="Arial"/>
          <w:sz w:val="20"/>
          <w:szCs w:val="20"/>
        </w:rPr>
        <w:t xml:space="preserve"> - D</w:t>
      </w:r>
      <w:r w:rsidRPr="005A6981">
        <w:rPr>
          <w:rFonts w:ascii="Arial" w:hAnsi="Arial" w:cs="Arial"/>
          <w:sz w:val="20"/>
          <w:szCs w:val="20"/>
        </w:rPr>
        <w:t xml:space="preserve">LTKV of April 20, 2020) and authorizing the Corporation's Board of Directors to </w:t>
      </w:r>
      <w:r w:rsidR="0005768F">
        <w:rPr>
          <w:rFonts w:ascii="Arial" w:hAnsi="Arial" w:cs="Arial"/>
          <w:sz w:val="20"/>
          <w:szCs w:val="20"/>
        </w:rPr>
        <w:t xml:space="preserve">in accordance with </w:t>
      </w:r>
      <w:r w:rsidRPr="005A6981">
        <w:rPr>
          <w:rFonts w:ascii="Arial" w:hAnsi="Arial" w:cs="Arial"/>
          <w:sz w:val="20"/>
          <w:szCs w:val="20"/>
        </w:rPr>
        <w:t>the applicable regulations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4:</w:t>
      </w:r>
      <w:r w:rsidRPr="00E822F8">
        <w:rPr>
          <w:rFonts w:ascii="Arial" w:hAnsi="Arial" w:cs="Arial"/>
          <w:sz w:val="20"/>
          <w:szCs w:val="20"/>
        </w:rPr>
        <w:t xml:space="preserve"> Approving the selection of an independent auditing company to </w:t>
      </w:r>
      <w:r>
        <w:rPr>
          <w:rFonts w:ascii="Arial" w:hAnsi="Arial" w:cs="Arial"/>
          <w:sz w:val="20"/>
          <w:szCs w:val="20"/>
        </w:rPr>
        <w:t>audit the financial statement</w:t>
      </w:r>
      <w:r w:rsidRPr="00E822F8">
        <w:rPr>
          <w:rFonts w:ascii="Arial" w:hAnsi="Arial" w:cs="Arial"/>
          <w:sz w:val="20"/>
          <w:szCs w:val="20"/>
        </w:rPr>
        <w:t xml:space="preserve"> of 2020: 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2F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annual General Meeting of Shareholders</w:t>
      </w:r>
      <w:r w:rsidRPr="00E822F8">
        <w:rPr>
          <w:rFonts w:ascii="Arial" w:hAnsi="Arial" w:cs="Arial"/>
          <w:sz w:val="20"/>
          <w:szCs w:val="20"/>
        </w:rPr>
        <w:t xml:space="preserve"> approved the selection of an independent auditing company to audit the </w:t>
      </w:r>
      <w:r>
        <w:rPr>
          <w:rFonts w:ascii="Arial" w:hAnsi="Arial" w:cs="Arial"/>
          <w:sz w:val="20"/>
          <w:szCs w:val="20"/>
        </w:rPr>
        <w:t>financial statement</w:t>
      </w:r>
      <w:r w:rsidRPr="00E822F8">
        <w:rPr>
          <w:rFonts w:ascii="Arial" w:hAnsi="Arial" w:cs="Arial"/>
          <w:sz w:val="20"/>
          <w:szCs w:val="20"/>
        </w:rPr>
        <w:t xml:space="preserve"> of the Corporation in 2020 according to the report of the </w:t>
      </w:r>
      <w:r>
        <w:rPr>
          <w:rFonts w:ascii="Arial" w:hAnsi="Arial" w:cs="Arial"/>
          <w:sz w:val="20"/>
          <w:szCs w:val="20"/>
        </w:rPr>
        <w:t>Supervisory Board of</w:t>
      </w:r>
      <w:r w:rsidRPr="00E822F8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Corporation </w:t>
      </w:r>
      <w:r w:rsidRPr="00E822F8">
        <w:rPr>
          <w:rFonts w:ascii="Arial" w:hAnsi="Arial" w:cs="Arial"/>
          <w:sz w:val="20"/>
          <w:szCs w:val="20"/>
        </w:rPr>
        <w:t xml:space="preserve">at the </w:t>
      </w:r>
      <w:r>
        <w:rPr>
          <w:rFonts w:ascii="Arial" w:hAnsi="Arial" w:cs="Arial"/>
          <w:sz w:val="20"/>
          <w:szCs w:val="20"/>
        </w:rPr>
        <w:t>annual General Meeting of Shareholders</w:t>
      </w:r>
      <w:r w:rsidRPr="00E822F8">
        <w:rPr>
          <w:rFonts w:ascii="Arial" w:hAnsi="Arial" w:cs="Arial"/>
          <w:sz w:val="20"/>
          <w:szCs w:val="20"/>
        </w:rPr>
        <w:t xml:space="preserve">, with the following contents: 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2F8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1</w:t>
      </w:r>
      <w:r w:rsidRPr="00E822F8">
        <w:rPr>
          <w:rFonts w:ascii="Arial" w:hAnsi="Arial" w:cs="Arial"/>
          <w:sz w:val="20"/>
          <w:szCs w:val="20"/>
        </w:rPr>
        <w:t xml:space="preserve"> Criteria for selecting auditing firm, audit content: 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Being</w:t>
      </w:r>
      <w:r w:rsidRPr="00E822F8">
        <w:rPr>
          <w:rFonts w:ascii="Arial" w:hAnsi="Arial" w:cs="Arial"/>
          <w:sz w:val="20"/>
          <w:szCs w:val="20"/>
        </w:rPr>
        <w:t xml:space="preserve"> an auditing company approved by the Ministry of Finance, the State Securities Commission </w:t>
      </w:r>
      <w:r>
        <w:rPr>
          <w:rFonts w:ascii="Arial" w:hAnsi="Arial" w:cs="Arial"/>
          <w:sz w:val="20"/>
          <w:szCs w:val="20"/>
        </w:rPr>
        <w:t xml:space="preserve">to </w:t>
      </w:r>
      <w:r w:rsidRPr="00E822F8">
        <w:rPr>
          <w:rFonts w:ascii="Arial" w:hAnsi="Arial" w:cs="Arial"/>
          <w:sz w:val="20"/>
          <w:szCs w:val="20"/>
        </w:rPr>
        <w:t xml:space="preserve">audit the public units at the time closest to the </w:t>
      </w:r>
      <w:r>
        <w:rPr>
          <w:rFonts w:ascii="Arial" w:hAnsi="Arial" w:cs="Arial"/>
          <w:sz w:val="20"/>
          <w:szCs w:val="20"/>
        </w:rPr>
        <w:t>time</w:t>
      </w:r>
      <w:r w:rsidRPr="00E822F8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selecting audit</w:t>
      </w:r>
      <w:r w:rsidRPr="00E822F8">
        <w:rPr>
          <w:rFonts w:ascii="Arial" w:hAnsi="Arial" w:cs="Arial"/>
          <w:sz w:val="20"/>
          <w:szCs w:val="20"/>
        </w:rPr>
        <w:t xml:space="preserve"> companies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Having e</w:t>
      </w:r>
      <w:r w:rsidRPr="00E822F8">
        <w:rPr>
          <w:rFonts w:ascii="Arial" w:hAnsi="Arial" w:cs="Arial"/>
          <w:sz w:val="20"/>
          <w:szCs w:val="20"/>
        </w:rPr>
        <w:t>xperience in auditing for large companies and corporations in the field of elect</w:t>
      </w:r>
      <w:r>
        <w:rPr>
          <w:rFonts w:ascii="Arial" w:hAnsi="Arial" w:cs="Arial"/>
          <w:sz w:val="20"/>
          <w:szCs w:val="20"/>
        </w:rPr>
        <w:t>ricity production and trading; Mining coal – minerals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E822F8">
        <w:rPr>
          <w:rFonts w:ascii="Arial" w:hAnsi="Arial" w:cs="Arial"/>
          <w:sz w:val="20"/>
          <w:szCs w:val="20"/>
        </w:rPr>
        <w:t>Having reasonable audit fees, suitable with the quality and scope of audit and lower than the approv</w:t>
      </w:r>
      <w:r>
        <w:rPr>
          <w:rFonts w:ascii="Arial" w:hAnsi="Arial" w:cs="Arial"/>
          <w:sz w:val="20"/>
          <w:szCs w:val="20"/>
        </w:rPr>
        <w:t>ed audit cost estimates of 2020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E822F8">
        <w:rPr>
          <w:rFonts w:ascii="Arial" w:hAnsi="Arial" w:cs="Arial"/>
          <w:sz w:val="20"/>
          <w:szCs w:val="20"/>
        </w:rPr>
        <w:t xml:space="preserve">The audit </w:t>
      </w:r>
      <w:r>
        <w:rPr>
          <w:rFonts w:ascii="Arial" w:hAnsi="Arial" w:cs="Arial"/>
          <w:sz w:val="20"/>
          <w:szCs w:val="20"/>
        </w:rPr>
        <w:t>contents</w:t>
      </w:r>
      <w:r w:rsidRPr="00E822F8">
        <w:rPr>
          <w:rFonts w:ascii="Arial" w:hAnsi="Arial" w:cs="Arial"/>
          <w:sz w:val="20"/>
          <w:szCs w:val="20"/>
        </w:rPr>
        <w:t xml:space="preserve"> meeting th</w:t>
      </w:r>
      <w:r>
        <w:rPr>
          <w:rFonts w:ascii="Arial" w:hAnsi="Arial" w:cs="Arial"/>
          <w:sz w:val="20"/>
          <w:szCs w:val="20"/>
        </w:rPr>
        <w:t>e requirements in Document No. 62/TKV-KS-KTTC dated</w:t>
      </w:r>
      <w:r w:rsidRPr="00E822F8">
        <w:rPr>
          <w:rFonts w:ascii="Arial" w:hAnsi="Arial" w:cs="Arial"/>
          <w:sz w:val="20"/>
          <w:szCs w:val="20"/>
        </w:rPr>
        <w:t xml:space="preserve"> January 6, 2020 of Vietnam </w:t>
      </w:r>
      <w:r>
        <w:rPr>
          <w:rFonts w:ascii="Arial" w:hAnsi="Arial" w:cs="Arial"/>
          <w:sz w:val="20"/>
          <w:szCs w:val="20"/>
        </w:rPr>
        <w:t xml:space="preserve">National </w:t>
      </w:r>
      <w:r w:rsidRPr="00E822F8">
        <w:rPr>
          <w:rFonts w:ascii="Arial" w:hAnsi="Arial" w:cs="Arial"/>
          <w:sz w:val="20"/>
          <w:szCs w:val="20"/>
        </w:rPr>
        <w:t>Coal</w:t>
      </w:r>
      <w:r>
        <w:rPr>
          <w:rFonts w:ascii="Arial" w:hAnsi="Arial" w:cs="Arial"/>
          <w:sz w:val="20"/>
          <w:szCs w:val="20"/>
        </w:rPr>
        <w:t xml:space="preserve"> - Mineral Industries</w:t>
      </w:r>
      <w:r w:rsidRPr="00E822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Holding Corporation Limited </w:t>
      </w:r>
      <w:r w:rsidRPr="00E822F8">
        <w:rPr>
          <w:rFonts w:ascii="Arial" w:hAnsi="Arial" w:cs="Arial"/>
          <w:sz w:val="20"/>
          <w:szCs w:val="20"/>
        </w:rPr>
        <w:t>(TKV) on t</w:t>
      </w:r>
      <w:r>
        <w:rPr>
          <w:rFonts w:ascii="Arial" w:hAnsi="Arial" w:cs="Arial"/>
          <w:sz w:val="20"/>
          <w:szCs w:val="20"/>
        </w:rPr>
        <w:t>he implementation of auditing in 2020</w:t>
      </w:r>
    </w:p>
    <w:p w:rsidR="00E822F8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Form of selecting audit contractors: Limited bidding</w:t>
      </w:r>
    </w:p>
    <w:p w:rsidR="0005768F" w:rsidRDefault="00E822F8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Pr="00E822F8">
        <w:rPr>
          <w:rFonts w:ascii="Arial" w:hAnsi="Arial" w:cs="Arial"/>
          <w:sz w:val="20"/>
          <w:szCs w:val="20"/>
        </w:rPr>
        <w:t xml:space="preserve"> Implementation: The </w:t>
      </w:r>
      <w:r>
        <w:rPr>
          <w:rFonts w:ascii="Arial" w:hAnsi="Arial" w:cs="Arial"/>
          <w:sz w:val="20"/>
          <w:szCs w:val="20"/>
        </w:rPr>
        <w:t>annual General Meeting of Shareholders</w:t>
      </w:r>
      <w:r w:rsidRPr="00E822F8">
        <w:rPr>
          <w:rFonts w:ascii="Arial" w:hAnsi="Arial" w:cs="Arial"/>
          <w:sz w:val="20"/>
          <w:szCs w:val="20"/>
        </w:rPr>
        <w:t xml:space="preserve"> assigned the General Director to select the contractor for the bidding package </w:t>
      </w:r>
      <w:r>
        <w:rPr>
          <w:rFonts w:ascii="Arial" w:hAnsi="Arial" w:cs="Arial"/>
          <w:sz w:val="20"/>
          <w:szCs w:val="20"/>
        </w:rPr>
        <w:t>of</w:t>
      </w:r>
      <w:r w:rsidRPr="00E822F8">
        <w:rPr>
          <w:rFonts w:ascii="Arial" w:hAnsi="Arial" w:cs="Arial"/>
          <w:sz w:val="20"/>
          <w:szCs w:val="20"/>
        </w:rPr>
        <w:t xml:space="preserve"> audit</w:t>
      </w:r>
      <w:r>
        <w:rPr>
          <w:rFonts w:ascii="Arial" w:hAnsi="Arial" w:cs="Arial"/>
          <w:sz w:val="20"/>
          <w:szCs w:val="20"/>
        </w:rPr>
        <w:t>ing the financial statement</w:t>
      </w:r>
      <w:r w:rsidRPr="00E822F8">
        <w:rPr>
          <w:rFonts w:ascii="Arial" w:hAnsi="Arial" w:cs="Arial"/>
          <w:sz w:val="20"/>
          <w:szCs w:val="20"/>
        </w:rPr>
        <w:t xml:space="preserve"> of 2020 through limited bidding.  Implementation steps co</w:t>
      </w:r>
      <w:r>
        <w:rPr>
          <w:rFonts w:ascii="Arial" w:hAnsi="Arial" w:cs="Arial"/>
          <w:sz w:val="20"/>
          <w:szCs w:val="20"/>
        </w:rPr>
        <w:t xml:space="preserve">mply with current regulations. </w:t>
      </w:r>
      <w:r w:rsidRPr="00E822F8">
        <w:rPr>
          <w:rFonts w:ascii="Arial" w:hAnsi="Arial" w:cs="Arial"/>
          <w:sz w:val="20"/>
          <w:szCs w:val="20"/>
        </w:rPr>
        <w:t xml:space="preserve">The audit contract after signing is transferred </w:t>
      </w:r>
      <w:r w:rsidR="008B54BB">
        <w:rPr>
          <w:rFonts w:ascii="Arial" w:hAnsi="Arial" w:cs="Arial"/>
          <w:sz w:val="20"/>
          <w:szCs w:val="20"/>
        </w:rPr>
        <w:t>one copy to the Supervisory Board</w:t>
      </w:r>
      <w:r w:rsidRPr="00E822F8">
        <w:rPr>
          <w:rFonts w:ascii="Arial" w:hAnsi="Arial" w:cs="Arial"/>
          <w:sz w:val="20"/>
          <w:szCs w:val="20"/>
        </w:rPr>
        <w:t xml:space="preserve"> for checki</w:t>
      </w:r>
      <w:r w:rsidR="008B54BB">
        <w:rPr>
          <w:rFonts w:ascii="Arial" w:hAnsi="Arial" w:cs="Arial"/>
          <w:sz w:val="20"/>
          <w:szCs w:val="20"/>
        </w:rPr>
        <w:t>ng and urging implementation</w:t>
      </w:r>
    </w:p>
    <w:p w:rsidR="008143C5" w:rsidRDefault="008143C5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43C5">
        <w:rPr>
          <w:rFonts w:ascii="Arial" w:hAnsi="Arial" w:cs="Arial"/>
          <w:sz w:val="20"/>
          <w:szCs w:val="20"/>
        </w:rPr>
        <w:t>Article 5</w:t>
      </w:r>
      <w:r>
        <w:rPr>
          <w:rFonts w:ascii="Arial" w:hAnsi="Arial" w:cs="Arial"/>
          <w:sz w:val="20"/>
          <w:szCs w:val="20"/>
        </w:rPr>
        <w:t xml:space="preserve">: </w:t>
      </w:r>
      <w:r w:rsidRPr="008143C5">
        <w:rPr>
          <w:rFonts w:ascii="Arial" w:hAnsi="Arial" w:cs="Arial"/>
          <w:sz w:val="20"/>
          <w:szCs w:val="20"/>
        </w:rPr>
        <w:t xml:space="preserve">Approving the listing of the Corporation's shares in 2020;  </w:t>
      </w:r>
    </w:p>
    <w:p w:rsidR="008143C5" w:rsidRDefault="008143C5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43C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annual General Meeting of Shareholders approved</w:t>
      </w:r>
      <w:r w:rsidRPr="008143C5">
        <w:rPr>
          <w:rFonts w:ascii="Arial" w:hAnsi="Arial" w:cs="Arial"/>
          <w:sz w:val="20"/>
          <w:szCs w:val="20"/>
        </w:rPr>
        <w:t xml:space="preserve"> the listing of the Corporation's shares in 2020 according to the report of the Corporation's Board of Directo</w:t>
      </w:r>
      <w:r>
        <w:rPr>
          <w:rFonts w:ascii="Arial" w:hAnsi="Arial" w:cs="Arial"/>
          <w:sz w:val="20"/>
          <w:szCs w:val="20"/>
        </w:rPr>
        <w:t>rs at the Meeting and authorized</w:t>
      </w:r>
      <w:r w:rsidRPr="008143C5">
        <w:rPr>
          <w:rFonts w:ascii="Arial" w:hAnsi="Arial" w:cs="Arial"/>
          <w:sz w:val="20"/>
          <w:szCs w:val="20"/>
        </w:rPr>
        <w:t xml:space="preserve"> the Corporation's Board of Directors to organize the implementation </w:t>
      </w:r>
      <w:r>
        <w:rPr>
          <w:rFonts w:ascii="Arial" w:hAnsi="Arial" w:cs="Arial"/>
          <w:sz w:val="20"/>
          <w:szCs w:val="20"/>
        </w:rPr>
        <w:t xml:space="preserve">in </w:t>
      </w:r>
      <w:r w:rsidRPr="008143C5">
        <w:rPr>
          <w:rFonts w:ascii="Arial" w:hAnsi="Arial" w:cs="Arial"/>
          <w:sz w:val="20"/>
          <w:szCs w:val="20"/>
        </w:rPr>
        <w:t>compliance</w:t>
      </w:r>
      <w:r>
        <w:rPr>
          <w:rFonts w:ascii="Arial" w:hAnsi="Arial" w:cs="Arial"/>
          <w:sz w:val="20"/>
          <w:szCs w:val="20"/>
        </w:rPr>
        <w:t xml:space="preserve"> with the current regulations</w:t>
      </w:r>
    </w:p>
    <w:p w:rsidR="008143C5" w:rsidRDefault="008143C5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6: </w:t>
      </w:r>
      <w:r w:rsidRPr="008143C5">
        <w:rPr>
          <w:rFonts w:ascii="Arial" w:hAnsi="Arial" w:cs="Arial"/>
          <w:sz w:val="20"/>
          <w:szCs w:val="20"/>
        </w:rPr>
        <w:t>Approve the authorization for the Board of Director</w:t>
      </w:r>
      <w:r>
        <w:rPr>
          <w:rFonts w:ascii="Arial" w:hAnsi="Arial" w:cs="Arial"/>
          <w:sz w:val="20"/>
          <w:szCs w:val="20"/>
        </w:rPr>
        <w:t>s to approve the adjustment of total investment capital; total cost estimate</w:t>
      </w:r>
      <w:r w:rsidRPr="008143C5">
        <w:rPr>
          <w:rFonts w:ascii="Arial" w:hAnsi="Arial" w:cs="Arial"/>
          <w:sz w:val="20"/>
          <w:szCs w:val="20"/>
        </w:rPr>
        <w:t xml:space="preserve"> for settlement of completed projects: </w:t>
      </w:r>
    </w:p>
    <w:p w:rsidR="008143C5" w:rsidRDefault="008143C5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Pr="008143C5">
        <w:rPr>
          <w:rFonts w:ascii="Arial" w:hAnsi="Arial" w:cs="Arial"/>
          <w:sz w:val="20"/>
          <w:szCs w:val="20"/>
        </w:rPr>
        <w:t xml:space="preserve">ased on the report of </w:t>
      </w:r>
      <w:r>
        <w:rPr>
          <w:rFonts w:ascii="Arial" w:hAnsi="Arial" w:cs="Arial"/>
          <w:sz w:val="20"/>
          <w:szCs w:val="20"/>
        </w:rPr>
        <w:t>Board of Directors of the</w:t>
      </w:r>
      <w:r w:rsidRPr="008143C5">
        <w:rPr>
          <w:rFonts w:ascii="Arial" w:hAnsi="Arial" w:cs="Arial"/>
          <w:sz w:val="20"/>
          <w:szCs w:val="20"/>
        </w:rPr>
        <w:t xml:space="preserve"> Corporation at the </w:t>
      </w:r>
      <w:r>
        <w:rPr>
          <w:rFonts w:ascii="Arial" w:hAnsi="Arial" w:cs="Arial"/>
          <w:sz w:val="20"/>
          <w:szCs w:val="20"/>
        </w:rPr>
        <w:t>annual General Meeting of Shareholders</w:t>
      </w:r>
      <w:r w:rsidRPr="008143C5">
        <w:rPr>
          <w:rFonts w:ascii="Arial" w:hAnsi="Arial" w:cs="Arial"/>
          <w:sz w:val="20"/>
          <w:szCs w:val="20"/>
        </w:rPr>
        <w:t xml:space="preserve">, the </w:t>
      </w:r>
      <w:r>
        <w:rPr>
          <w:rFonts w:ascii="Arial" w:hAnsi="Arial" w:cs="Arial"/>
          <w:sz w:val="20"/>
          <w:szCs w:val="20"/>
        </w:rPr>
        <w:t>annual General Meeting of Shareholders approved the policy for</w:t>
      </w:r>
      <w:r w:rsidRPr="008143C5">
        <w:rPr>
          <w:rFonts w:ascii="Arial" w:hAnsi="Arial" w:cs="Arial"/>
          <w:sz w:val="20"/>
          <w:szCs w:val="20"/>
        </w:rPr>
        <w:t xml:space="preserve"> adjusting the total </w:t>
      </w:r>
      <w:r>
        <w:rPr>
          <w:rFonts w:ascii="Arial" w:hAnsi="Arial" w:cs="Arial"/>
          <w:sz w:val="20"/>
          <w:szCs w:val="20"/>
        </w:rPr>
        <w:t>investment, total cost estimate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Pr="008143C5">
        <w:rPr>
          <w:rFonts w:ascii="Arial" w:hAnsi="Arial" w:cs="Arial"/>
          <w:sz w:val="20"/>
          <w:szCs w:val="20"/>
        </w:rPr>
        <w:t>(</w:t>
      </w:r>
      <w:proofErr w:type="gramEnd"/>
      <w:r w:rsidRPr="008143C5">
        <w:rPr>
          <w:rFonts w:ascii="Arial" w:hAnsi="Arial" w:cs="Arial"/>
          <w:sz w:val="20"/>
          <w:szCs w:val="20"/>
        </w:rPr>
        <w:t xml:space="preserve">if any) of Son Dong, Mao </w:t>
      </w:r>
      <w:proofErr w:type="spellStart"/>
      <w:r w:rsidRPr="008143C5">
        <w:rPr>
          <w:rFonts w:ascii="Arial" w:hAnsi="Arial" w:cs="Arial"/>
          <w:sz w:val="20"/>
          <w:szCs w:val="20"/>
        </w:rPr>
        <w:t>Khe</w:t>
      </w:r>
      <w:proofErr w:type="spellEnd"/>
      <w:r w:rsidRPr="008143C5">
        <w:rPr>
          <w:rFonts w:ascii="Arial" w:hAnsi="Arial" w:cs="Arial"/>
          <w:sz w:val="20"/>
          <w:szCs w:val="20"/>
        </w:rPr>
        <w:t xml:space="preserve"> and Dong </w:t>
      </w:r>
      <w:proofErr w:type="spellStart"/>
      <w:r w:rsidRPr="008143C5">
        <w:rPr>
          <w:rFonts w:ascii="Arial" w:hAnsi="Arial" w:cs="Arial"/>
          <w:sz w:val="20"/>
          <w:szCs w:val="20"/>
        </w:rPr>
        <w:t>Nai</w:t>
      </w:r>
      <w:proofErr w:type="spellEnd"/>
      <w:r w:rsidRPr="008143C5">
        <w:rPr>
          <w:rFonts w:ascii="Arial" w:hAnsi="Arial" w:cs="Arial"/>
          <w:sz w:val="20"/>
          <w:szCs w:val="20"/>
        </w:rPr>
        <w:t xml:space="preserve"> 5 power plant projects as the basis for finalizing the completed project</w:t>
      </w:r>
      <w:r>
        <w:rPr>
          <w:rFonts w:ascii="Arial" w:hAnsi="Arial" w:cs="Arial"/>
          <w:sz w:val="20"/>
          <w:szCs w:val="20"/>
        </w:rPr>
        <w:t>s and authorized</w:t>
      </w:r>
      <w:r w:rsidRPr="008143C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Board of Directors </w:t>
      </w:r>
      <w:r w:rsidRPr="008143C5">
        <w:rPr>
          <w:rFonts w:ascii="Arial" w:hAnsi="Arial" w:cs="Arial"/>
          <w:sz w:val="20"/>
          <w:szCs w:val="20"/>
        </w:rPr>
        <w:t xml:space="preserve">of the Corporation to </w:t>
      </w:r>
      <w:r>
        <w:rPr>
          <w:rFonts w:ascii="Arial" w:hAnsi="Arial" w:cs="Arial"/>
          <w:sz w:val="20"/>
          <w:szCs w:val="20"/>
        </w:rPr>
        <w:t>approve the adjustments</w:t>
      </w:r>
      <w:r w:rsidRPr="008143C5">
        <w:rPr>
          <w:rFonts w:ascii="Arial" w:hAnsi="Arial" w:cs="Arial"/>
          <w:sz w:val="20"/>
          <w:szCs w:val="20"/>
        </w:rPr>
        <w:t xml:space="preserve">  </w:t>
      </w:r>
    </w:p>
    <w:p w:rsidR="008143C5" w:rsidRDefault="008143C5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7: </w:t>
      </w:r>
      <w:r w:rsidRPr="008143C5">
        <w:rPr>
          <w:rFonts w:ascii="Arial" w:hAnsi="Arial" w:cs="Arial"/>
          <w:sz w:val="20"/>
          <w:szCs w:val="20"/>
        </w:rPr>
        <w:t xml:space="preserve">Implementation provisions: </w:t>
      </w:r>
    </w:p>
    <w:p w:rsidR="008B54BB" w:rsidRPr="00E822F8" w:rsidRDefault="008143C5" w:rsidP="00E82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General Mandate was</w:t>
      </w:r>
      <w:r w:rsidRPr="008143C5">
        <w:rPr>
          <w:rFonts w:ascii="Arial" w:hAnsi="Arial" w:cs="Arial"/>
          <w:sz w:val="20"/>
          <w:szCs w:val="20"/>
        </w:rPr>
        <w:t xml:space="preserve"> approved by the Annual General Meeting of Shareholders of </w:t>
      </w:r>
      <w:proofErr w:type="spellStart"/>
      <w:r w:rsidRPr="008143C5">
        <w:rPr>
          <w:rFonts w:ascii="Arial" w:hAnsi="Arial" w:cs="Arial"/>
          <w:sz w:val="20"/>
          <w:szCs w:val="20"/>
        </w:rPr>
        <w:t>Vinacomin</w:t>
      </w:r>
      <w:proofErr w:type="spellEnd"/>
      <w:r w:rsidRPr="008143C5">
        <w:rPr>
          <w:rFonts w:ascii="Arial" w:hAnsi="Arial" w:cs="Arial"/>
          <w:sz w:val="20"/>
          <w:szCs w:val="20"/>
        </w:rPr>
        <w:t xml:space="preserve"> - Power Holding Corporation on April 22, 2020 and takes e</w:t>
      </w:r>
      <w:r>
        <w:rPr>
          <w:rFonts w:ascii="Arial" w:hAnsi="Arial" w:cs="Arial"/>
          <w:sz w:val="20"/>
          <w:szCs w:val="20"/>
        </w:rPr>
        <w:t>ffect from the date of approval</w:t>
      </w:r>
    </w:p>
    <w:sectPr w:rsidR="008B54BB" w:rsidRPr="00E8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2750"/>
    <w:rsid w:val="000266C2"/>
    <w:rsid w:val="00050E3D"/>
    <w:rsid w:val="0005768F"/>
    <w:rsid w:val="000603A9"/>
    <w:rsid w:val="000A0B74"/>
    <w:rsid w:val="000D20D4"/>
    <w:rsid w:val="000E4CD5"/>
    <w:rsid w:val="000E71F4"/>
    <w:rsid w:val="00100A78"/>
    <w:rsid w:val="00132EC5"/>
    <w:rsid w:val="00146DCF"/>
    <w:rsid w:val="0016411D"/>
    <w:rsid w:val="00167E2F"/>
    <w:rsid w:val="001F34A1"/>
    <w:rsid w:val="001F6744"/>
    <w:rsid w:val="00273101"/>
    <w:rsid w:val="002B42CC"/>
    <w:rsid w:val="002D481A"/>
    <w:rsid w:val="002D4939"/>
    <w:rsid w:val="002D53EE"/>
    <w:rsid w:val="002E19CE"/>
    <w:rsid w:val="002E7FD0"/>
    <w:rsid w:val="00304722"/>
    <w:rsid w:val="0032185B"/>
    <w:rsid w:val="00327CF7"/>
    <w:rsid w:val="0033774A"/>
    <w:rsid w:val="00353428"/>
    <w:rsid w:val="0037607E"/>
    <w:rsid w:val="00397004"/>
    <w:rsid w:val="003A0ECB"/>
    <w:rsid w:val="003A5CE9"/>
    <w:rsid w:val="003B6A3E"/>
    <w:rsid w:val="003B73F7"/>
    <w:rsid w:val="003C4606"/>
    <w:rsid w:val="00403A9C"/>
    <w:rsid w:val="00441B46"/>
    <w:rsid w:val="004530A7"/>
    <w:rsid w:val="00467BC0"/>
    <w:rsid w:val="0047038B"/>
    <w:rsid w:val="00471C5C"/>
    <w:rsid w:val="00490B2B"/>
    <w:rsid w:val="00496733"/>
    <w:rsid w:val="004B2BA6"/>
    <w:rsid w:val="004E4C16"/>
    <w:rsid w:val="00503DD6"/>
    <w:rsid w:val="0052379D"/>
    <w:rsid w:val="0055067A"/>
    <w:rsid w:val="005610CB"/>
    <w:rsid w:val="00576A91"/>
    <w:rsid w:val="0057725D"/>
    <w:rsid w:val="0058213A"/>
    <w:rsid w:val="0058434E"/>
    <w:rsid w:val="005906FC"/>
    <w:rsid w:val="005A6981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336C9"/>
    <w:rsid w:val="00744587"/>
    <w:rsid w:val="00745D9A"/>
    <w:rsid w:val="00750F3E"/>
    <w:rsid w:val="0077456B"/>
    <w:rsid w:val="007919A3"/>
    <w:rsid w:val="007A072F"/>
    <w:rsid w:val="007A1FCC"/>
    <w:rsid w:val="007B07E7"/>
    <w:rsid w:val="007B67AF"/>
    <w:rsid w:val="007C13C6"/>
    <w:rsid w:val="007E0993"/>
    <w:rsid w:val="007E7734"/>
    <w:rsid w:val="008134FC"/>
    <w:rsid w:val="008143C5"/>
    <w:rsid w:val="00837771"/>
    <w:rsid w:val="0084142F"/>
    <w:rsid w:val="0084485C"/>
    <w:rsid w:val="00853748"/>
    <w:rsid w:val="008544C2"/>
    <w:rsid w:val="00891985"/>
    <w:rsid w:val="008B54BB"/>
    <w:rsid w:val="008C7A42"/>
    <w:rsid w:val="0090053B"/>
    <w:rsid w:val="00937D79"/>
    <w:rsid w:val="00971BC9"/>
    <w:rsid w:val="00975A27"/>
    <w:rsid w:val="00981275"/>
    <w:rsid w:val="009A0CE5"/>
    <w:rsid w:val="009C28F2"/>
    <w:rsid w:val="009E1744"/>
    <w:rsid w:val="00A05A90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7158A"/>
    <w:rsid w:val="00BA1F12"/>
    <w:rsid w:val="00BA3FB7"/>
    <w:rsid w:val="00BB149F"/>
    <w:rsid w:val="00BB2980"/>
    <w:rsid w:val="00BD3CCA"/>
    <w:rsid w:val="00BF0485"/>
    <w:rsid w:val="00C220E2"/>
    <w:rsid w:val="00C2280B"/>
    <w:rsid w:val="00C26F1A"/>
    <w:rsid w:val="00C33F82"/>
    <w:rsid w:val="00C36031"/>
    <w:rsid w:val="00C42838"/>
    <w:rsid w:val="00C940B5"/>
    <w:rsid w:val="00CA1BB3"/>
    <w:rsid w:val="00CB0222"/>
    <w:rsid w:val="00CE40C1"/>
    <w:rsid w:val="00D12FC4"/>
    <w:rsid w:val="00D52C26"/>
    <w:rsid w:val="00D651E1"/>
    <w:rsid w:val="00D710D0"/>
    <w:rsid w:val="00D74339"/>
    <w:rsid w:val="00D77F89"/>
    <w:rsid w:val="00D92EFF"/>
    <w:rsid w:val="00DA3531"/>
    <w:rsid w:val="00DA54D0"/>
    <w:rsid w:val="00DD1205"/>
    <w:rsid w:val="00DD263A"/>
    <w:rsid w:val="00DE5C3C"/>
    <w:rsid w:val="00DF4180"/>
    <w:rsid w:val="00DF739B"/>
    <w:rsid w:val="00E24F0A"/>
    <w:rsid w:val="00E5441C"/>
    <w:rsid w:val="00E5565D"/>
    <w:rsid w:val="00E822F8"/>
    <w:rsid w:val="00E96D65"/>
    <w:rsid w:val="00ED6D41"/>
    <w:rsid w:val="00F272CE"/>
    <w:rsid w:val="00F320D6"/>
    <w:rsid w:val="00F33967"/>
    <w:rsid w:val="00F360CB"/>
    <w:rsid w:val="00F82371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74F5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Bui Thanh Hai</cp:lastModifiedBy>
  <cp:revision>178</cp:revision>
  <dcterms:created xsi:type="dcterms:W3CDTF">2019-10-16T10:03:00Z</dcterms:created>
  <dcterms:modified xsi:type="dcterms:W3CDTF">2020-04-24T06:23:00Z</dcterms:modified>
</cp:coreProperties>
</file>